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This syllabus guide is intended to help submitters create syllabi that follow FCAS guidelines and University policy for UW CM/Kuali course proposals. This guide only covers what a syllabus should include for UWCC approval and to be in line with University policy. Syllabi do not need to follow this exact format. It is up to the discretion of the instructor and department to add additional information as desired.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For more information on the guidelines that shaped the content of this template and other recommended syllabi language, please visit UW Curriculum Office’s page on </w:t>
      </w:r>
      <w:hyperlink r:id="rId6">
        <w:r w:rsidDel="00000000" w:rsidR="00000000" w:rsidRPr="00000000">
          <w:rPr>
            <w:color w:val="1155cc"/>
            <w:u w:val="single"/>
            <w:rtl w:val="0"/>
          </w:rPr>
          <w:t xml:space="preserve">UW Syllabus Guidelines and Resources</w:t>
        </w:r>
      </w:hyperlink>
      <w:r w:rsidDel="00000000" w:rsidR="00000000" w:rsidRPr="00000000">
        <w:rPr>
          <w:rtl w:val="0"/>
        </w:rPr>
        <w:t xml:space="preserve">. Typical issues that result in UW CM/Kuali send backs were included too.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Course Title</w:t>
      </w:r>
    </w:p>
    <w:p w:rsidR="00000000" w:rsidDel="00000000" w:rsidP="00000000" w:rsidRDefault="00000000" w:rsidRPr="00000000" w14:paraId="00000006">
      <w:pPr>
        <w:jc w:val="center"/>
        <w:rPr>
          <w:b w:val="1"/>
        </w:rPr>
      </w:pPr>
      <w:r w:rsidDel="00000000" w:rsidR="00000000" w:rsidRPr="00000000">
        <w:rPr>
          <w:b w:val="1"/>
          <w:rtl w:val="0"/>
        </w:rPr>
        <w:t xml:space="preserve">Course Number</w:t>
      </w:r>
    </w:p>
    <w:p w:rsidR="00000000" w:rsidDel="00000000" w:rsidP="00000000" w:rsidRDefault="00000000" w:rsidRPr="00000000" w14:paraId="00000007">
      <w:pPr>
        <w:jc w:val="center"/>
        <w:rPr>
          <w:b w:val="1"/>
        </w:rPr>
      </w:pPr>
      <w:r w:rsidDel="00000000" w:rsidR="00000000" w:rsidRPr="00000000">
        <w:rPr>
          <w:b w:val="1"/>
          <w:rtl w:val="0"/>
        </w:rPr>
        <w:t xml:space="preserve">University of Washington </w:t>
      </w:r>
    </w:p>
    <w:p w:rsidR="00000000" w:rsidDel="00000000" w:rsidP="00000000" w:rsidRDefault="00000000" w:rsidRPr="00000000" w14:paraId="00000008">
      <w:pPr>
        <w:jc w:val="left"/>
        <w:rPr>
          <w:b w:val="1"/>
        </w:rPr>
      </w:pPr>
      <w:r w:rsidDel="00000000" w:rsidR="00000000" w:rsidRPr="00000000">
        <w:rPr>
          <w:rtl w:val="0"/>
        </w:rPr>
      </w:r>
    </w:p>
    <w:p w:rsidR="00000000" w:rsidDel="00000000" w:rsidP="00000000" w:rsidRDefault="00000000" w:rsidRPr="00000000" w14:paraId="00000009">
      <w:pPr>
        <w:jc w:val="left"/>
        <w:rPr>
          <w:b w:val="1"/>
        </w:rPr>
      </w:pPr>
      <w:r w:rsidDel="00000000" w:rsidR="00000000" w:rsidRPr="00000000">
        <w:rPr>
          <w:b w:val="1"/>
          <w:rtl w:val="0"/>
        </w:rPr>
        <w:t xml:space="preserve">Instructor Name:</w:t>
      </w:r>
    </w:p>
    <w:p w:rsidR="00000000" w:rsidDel="00000000" w:rsidP="00000000" w:rsidRDefault="00000000" w:rsidRPr="00000000" w14:paraId="0000000A">
      <w:pPr>
        <w:jc w:val="left"/>
        <w:rPr>
          <w:b w:val="1"/>
        </w:rPr>
      </w:pPr>
      <w:r w:rsidDel="00000000" w:rsidR="00000000" w:rsidRPr="00000000">
        <w:rPr>
          <w:b w:val="1"/>
          <w:rtl w:val="0"/>
        </w:rPr>
        <w:t xml:space="preserve">Instructor Email:</w:t>
      </w:r>
    </w:p>
    <w:p w:rsidR="00000000" w:rsidDel="00000000" w:rsidP="00000000" w:rsidRDefault="00000000" w:rsidRPr="00000000" w14:paraId="0000000B">
      <w:pPr>
        <w:jc w:val="left"/>
        <w:rPr>
          <w:b w:val="1"/>
        </w:rPr>
      </w:pPr>
      <w:r w:rsidDel="00000000" w:rsidR="00000000" w:rsidRPr="00000000">
        <w:rPr>
          <w:b w:val="1"/>
          <w:rtl w:val="0"/>
        </w:rPr>
        <w:t xml:space="preserve">Office Hours:</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r>
    </w:p>
    <w:p w:rsidR="00000000" w:rsidDel="00000000" w:rsidP="00000000" w:rsidRDefault="00000000" w:rsidRPr="00000000" w14:paraId="0000000E">
      <w:pPr>
        <w:jc w:val="left"/>
        <w:rPr>
          <w:b w:val="1"/>
          <w:u w:val="single"/>
        </w:rPr>
      </w:pPr>
      <w:r w:rsidDel="00000000" w:rsidR="00000000" w:rsidRPr="00000000">
        <w:rPr>
          <w:b w:val="1"/>
          <w:u w:val="single"/>
          <w:rtl w:val="0"/>
        </w:rPr>
        <w:t xml:space="preserve">Course Description: </w:t>
      </w:r>
    </w:p>
    <w:p w:rsidR="00000000" w:rsidDel="00000000" w:rsidP="00000000" w:rsidRDefault="00000000" w:rsidRPr="00000000" w14:paraId="0000000F">
      <w:pPr>
        <w:jc w:val="left"/>
        <w:rPr>
          <w:b w:val="1"/>
        </w:rPr>
      </w:pPr>
      <w:r w:rsidDel="00000000" w:rsidR="00000000" w:rsidRPr="00000000">
        <w:rPr>
          <w:rtl w:val="0"/>
        </w:rPr>
      </w:r>
    </w:p>
    <w:p w:rsidR="00000000" w:rsidDel="00000000" w:rsidP="00000000" w:rsidRDefault="00000000" w:rsidRPr="00000000" w14:paraId="00000010">
      <w:pPr>
        <w:numPr>
          <w:ilvl w:val="0"/>
          <w:numId w:val="3"/>
        </w:numPr>
        <w:spacing w:after="200" w:lineRule="auto"/>
        <w:ind w:left="720" w:hanging="360"/>
        <w:jc w:val="left"/>
        <w:rPr/>
      </w:pPr>
      <w:r w:rsidDel="00000000" w:rsidR="00000000" w:rsidRPr="00000000">
        <w:rPr>
          <w:rtl w:val="0"/>
        </w:rPr>
        <w:t xml:space="preserve">Catalog description that is also included in the UW CM/Kuali proposal </w:t>
      </w:r>
    </w:p>
    <w:p w:rsidR="00000000" w:rsidDel="00000000" w:rsidP="00000000" w:rsidRDefault="00000000" w:rsidRPr="00000000" w14:paraId="00000011">
      <w:pPr>
        <w:numPr>
          <w:ilvl w:val="1"/>
          <w:numId w:val="3"/>
        </w:numPr>
        <w:spacing w:after="200" w:before="0" w:lineRule="auto"/>
        <w:ind w:left="1440" w:hanging="360"/>
        <w:jc w:val="left"/>
        <w:rPr/>
      </w:pPr>
      <w:r w:rsidDel="00000000" w:rsidR="00000000" w:rsidRPr="00000000">
        <w:rPr>
          <w:rtl w:val="0"/>
        </w:rPr>
        <w:t xml:space="preserve">Catalog/UW CM Description Style Guide:</w:t>
      </w:r>
    </w:p>
    <w:p w:rsidR="00000000" w:rsidDel="00000000" w:rsidP="00000000" w:rsidRDefault="00000000" w:rsidRPr="00000000" w14:paraId="00000012">
      <w:pPr>
        <w:numPr>
          <w:ilvl w:val="0"/>
          <w:numId w:val="2"/>
        </w:numPr>
        <w:spacing w:after="0" w:before="0" w:lineRule="auto"/>
        <w:ind w:left="2160" w:hanging="360"/>
      </w:pPr>
      <w:r w:rsidDel="00000000" w:rsidR="00000000" w:rsidRPr="00000000">
        <w:rPr>
          <w:rtl w:val="0"/>
        </w:rPr>
        <w:t xml:space="preserve">Use serial commas and semicolons</w:t>
      </w:r>
    </w:p>
    <w:p w:rsidR="00000000" w:rsidDel="00000000" w:rsidP="00000000" w:rsidRDefault="00000000" w:rsidRPr="00000000" w14:paraId="00000013">
      <w:pPr>
        <w:numPr>
          <w:ilvl w:val="0"/>
          <w:numId w:val="2"/>
        </w:numPr>
        <w:spacing w:after="0" w:before="0" w:lineRule="auto"/>
        <w:ind w:left="2160" w:hanging="360"/>
      </w:pPr>
      <w:r w:rsidDel="00000000" w:rsidR="00000000" w:rsidRPr="00000000">
        <w:rPr>
          <w:rtl w:val="0"/>
        </w:rPr>
        <w:t xml:space="preserve">Avoid parentheses</w:t>
      </w:r>
    </w:p>
    <w:p w:rsidR="00000000" w:rsidDel="00000000" w:rsidP="00000000" w:rsidRDefault="00000000" w:rsidRPr="00000000" w14:paraId="00000014">
      <w:pPr>
        <w:numPr>
          <w:ilvl w:val="0"/>
          <w:numId w:val="2"/>
        </w:numPr>
        <w:spacing w:after="0" w:before="0" w:lineRule="auto"/>
        <w:ind w:left="2160" w:hanging="360"/>
      </w:pPr>
      <w:r w:rsidDel="00000000" w:rsidR="00000000" w:rsidRPr="00000000">
        <w:rPr>
          <w:rtl w:val="0"/>
        </w:rPr>
        <w:t xml:space="preserve">Do not use “etc.”  </w:t>
      </w:r>
    </w:p>
    <w:p w:rsidR="00000000" w:rsidDel="00000000" w:rsidP="00000000" w:rsidRDefault="00000000" w:rsidRPr="00000000" w14:paraId="00000015">
      <w:pPr>
        <w:numPr>
          <w:ilvl w:val="0"/>
          <w:numId w:val="2"/>
        </w:numPr>
        <w:spacing w:after="0" w:before="0" w:lineRule="auto"/>
        <w:ind w:left="2160" w:hanging="360"/>
      </w:pPr>
      <w:r w:rsidDel="00000000" w:rsidR="00000000" w:rsidRPr="00000000">
        <w:rPr>
          <w:rtl w:val="0"/>
        </w:rPr>
        <w:t xml:space="preserve">Write concisely and in the active tense. For example:</w:t>
      </w:r>
    </w:p>
    <w:p w:rsidR="00000000" w:rsidDel="00000000" w:rsidP="00000000" w:rsidRDefault="00000000" w:rsidRPr="00000000" w14:paraId="00000016">
      <w:pPr>
        <w:numPr>
          <w:ilvl w:val="1"/>
          <w:numId w:val="2"/>
        </w:numPr>
        <w:spacing w:after="0" w:before="0" w:lineRule="auto"/>
        <w:ind w:left="2880" w:hanging="360"/>
      </w:pPr>
      <w:r w:rsidDel="00000000" w:rsidR="00000000" w:rsidRPr="00000000">
        <w:rPr>
          <w:rtl w:val="0"/>
        </w:rPr>
        <w:t xml:space="preserve">"Uses" instead of "We will use"</w:t>
      </w:r>
    </w:p>
    <w:p w:rsidR="00000000" w:rsidDel="00000000" w:rsidP="00000000" w:rsidRDefault="00000000" w:rsidRPr="00000000" w14:paraId="00000017">
      <w:pPr>
        <w:numPr>
          <w:ilvl w:val="1"/>
          <w:numId w:val="2"/>
        </w:numPr>
        <w:spacing w:after="0" w:before="0" w:lineRule="auto"/>
        <w:ind w:left="2880" w:hanging="360"/>
      </w:pPr>
      <w:r w:rsidDel="00000000" w:rsidR="00000000" w:rsidRPr="00000000">
        <w:rPr>
          <w:rtl w:val="0"/>
        </w:rPr>
        <w:t xml:space="preserve">"Preparation for" instead of "helps students prepare for"</w:t>
      </w:r>
    </w:p>
    <w:p w:rsidR="00000000" w:rsidDel="00000000" w:rsidP="00000000" w:rsidRDefault="00000000" w:rsidRPr="00000000" w14:paraId="00000018">
      <w:pPr>
        <w:numPr>
          <w:ilvl w:val="0"/>
          <w:numId w:val="2"/>
        </w:numPr>
        <w:spacing w:after="0" w:before="0" w:lineRule="auto"/>
        <w:ind w:left="2160" w:hanging="360"/>
      </w:pPr>
      <w:r w:rsidDel="00000000" w:rsidR="00000000" w:rsidRPr="00000000">
        <w:rPr>
          <w:rtl w:val="0"/>
        </w:rPr>
        <w:t xml:space="preserve">Do not use special characters</w:t>
      </w:r>
    </w:p>
    <w:p w:rsidR="00000000" w:rsidDel="00000000" w:rsidP="00000000" w:rsidRDefault="00000000" w:rsidRPr="00000000" w14:paraId="00000019">
      <w:pPr>
        <w:numPr>
          <w:ilvl w:val="0"/>
          <w:numId w:val="2"/>
        </w:numPr>
        <w:spacing w:after="200" w:before="0" w:lineRule="auto"/>
        <w:ind w:left="2160" w:hanging="360"/>
      </w:pPr>
      <w:r w:rsidDel="00000000" w:rsidR="00000000" w:rsidRPr="00000000">
        <w:rPr>
          <w:rtl w:val="0"/>
        </w:rPr>
        <w:t xml:space="preserve">No sentence should start with "The course" or avoid "in this course."</w:t>
      </w:r>
    </w:p>
    <w:p w:rsidR="00000000" w:rsidDel="00000000" w:rsidP="00000000" w:rsidRDefault="00000000" w:rsidRPr="00000000" w14:paraId="0000001A">
      <w:pPr>
        <w:numPr>
          <w:ilvl w:val="0"/>
          <w:numId w:val="3"/>
        </w:numPr>
        <w:spacing w:after="200" w:before="0" w:lineRule="auto"/>
        <w:ind w:left="720" w:hanging="360"/>
        <w:jc w:val="left"/>
        <w:rPr/>
      </w:pPr>
      <w:r w:rsidDel="00000000" w:rsidR="00000000" w:rsidRPr="00000000">
        <w:rPr>
          <w:rtl w:val="0"/>
        </w:rPr>
        <w:t xml:space="preserve">Logistics to obtain necessary materials and assistance</w:t>
      </w:r>
    </w:p>
    <w:p w:rsidR="00000000" w:rsidDel="00000000" w:rsidP="00000000" w:rsidRDefault="00000000" w:rsidRPr="00000000" w14:paraId="0000001B">
      <w:pPr>
        <w:numPr>
          <w:ilvl w:val="0"/>
          <w:numId w:val="3"/>
        </w:numPr>
        <w:spacing w:after="200" w:lineRule="auto"/>
        <w:ind w:left="720" w:hanging="360"/>
        <w:jc w:val="left"/>
        <w:rPr/>
      </w:pPr>
      <w:r w:rsidDel="00000000" w:rsidR="00000000" w:rsidRPr="00000000">
        <w:rPr>
          <w:rtl w:val="0"/>
        </w:rPr>
        <w:t xml:space="preserve">Other learning/intellectual content and additional information</w:t>
      </w:r>
    </w:p>
    <w:p w:rsidR="00000000" w:rsidDel="00000000" w:rsidP="00000000" w:rsidRDefault="00000000" w:rsidRPr="00000000" w14:paraId="0000001C">
      <w:pPr>
        <w:jc w:val="left"/>
        <w:rPr>
          <w:b w:val="1"/>
        </w:rPr>
      </w:pPr>
      <w:r w:rsidDel="00000000" w:rsidR="00000000" w:rsidRPr="00000000">
        <w:rPr>
          <w:rtl w:val="0"/>
        </w:rPr>
      </w:r>
    </w:p>
    <w:p w:rsidR="00000000" w:rsidDel="00000000" w:rsidP="00000000" w:rsidRDefault="00000000" w:rsidRPr="00000000" w14:paraId="0000001D">
      <w:pPr>
        <w:jc w:val="left"/>
        <w:rPr>
          <w:b w:val="1"/>
          <w:u w:val="single"/>
        </w:rPr>
      </w:pPr>
      <w:r w:rsidDel="00000000" w:rsidR="00000000" w:rsidRPr="00000000">
        <w:rPr>
          <w:b w:val="1"/>
          <w:u w:val="single"/>
          <w:rtl w:val="0"/>
        </w:rPr>
        <w:t xml:space="preserve">Mode of Instruction:</w:t>
      </w:r>
    </w:p>
    <w:p w:rsidR="00000000" w:rsidDel="00000000" w:rsidP="00000000" w:rsidRDefault="00000000" w:rsidRPr="00000000" w14:paraId="0000001E">
      <w:pPr>
        <w:jc w:val="left"/>
        <w:rPr>
          <w:b w:val="1"/>
        </w:rPr>
      </w:pPr>
      <w:r w:rsidDel="00000000" w:rsidR="00000000" w:rsidRPr="00000000">
        <w:rPr>
          <w:rtl w:val="0"/>
        </w:rPr>
      </w:r>
    </w:p>
    <w:p w:rsidR="00000000" w:rsidDel="00000000" w:rsidP="00000000" w:rsidRDefault="00000000" w:rsidRPr="00000000" w14:paraId="0000001F">
      <w:pPr>
        <w:ind w:left="0" w:firstLine="0"/>
        <w:rPr>
          <w:b w:val="1"/>
        </w:rPr>
      </w:pPr>
      <w:r w:rsidDel="00000000" w:rsidR="00000000" w:rsidRPr="00000000">
        <w:rPr>
          <w:rtl w:val="0"/>
        </w:rPr>
        <w:t xml:space="preserve">Characteristics of class meetings (online, lecture-based, seminar, etc.)</w:t>
      </w:r>
      <w:r w:rsidDel="00000000" w:rsidR="00000000" w:rsidRPr="00000000">
        <w:rPr>
          <w:rtl w:val="0"/>
        </w:rPr>
      </w:r>
    </w:p>
    <w:p w:rsidR="00000000" w:rsidDel="00000000" w:rsidP="00000000" w:rsidRDefault="00000000" w:rsidRPr="00000000" w14:paraId="00000020">
      <w:pPr>
        <w:jc w:val="left"/>
        <w:rPr>
          <w:b w:val="1"/>
        </w:rPr>
      </w:pPr>
      <w:r w:rsidDel="00000000" w:rsidR="00000000" w:rsidRPr="00000000">
        <w:rPr>
          <w:rtl w:val="0"/>
        </w:rPr>
      </w:r>
    </w:p>
    <w:p w:rsidR="00000000" w:rsidDel="00000000" w:rsidP="00000000" w:rsidRDefault="00000000" w:rsidRPr="00000000" w14:paraId="00000021">
      <w:pPr>
        <w:jc w:val="left"/>
        <w:rPr>
          <w:b w:val="1"/>
          <w:u w:val="single"/>
        </w:rPr>
      </w:pPr>
      <w:r w:rsidDel="00000000" w:rsidR="00000000" w:rsidRPr="00000000">
        <w:rPr>
          <w:b w:val="1"/>
          <w:u w:val="single"/>
          <w:rtl w:val="0"/>
        </w:rPr>
        <w:t xml:space="preserve">Learning Objectives:</w:t>
      </w:r>
    </w:p>
    <w:p w:rsidR="00000000" w:rsidDel="00000000" w:rsidP="00000000" w:rsidRDefault="00000000" w:rsidRPr="00000000" w14:paraId="00000022">
      <w:pPr>
        <w:jc w:val="left"/>
        <w:rPr>
          <w:b w:val="1"/>
          <w:u w:val="single"/>
        </w:rPr>
      </w:pPr>
      <w:r w:rsidDel="00000000" w:rsidR="00000000" w:rsidRPr="00000000">
        <w:rPr>
          <w:rtl w:val="0"/>
        </w:rPr>
      </w:r>
    </w:p>
    <w:p w:rsidR="00000000" w:rsidDel="00000000" w:rsidP="00000000" w:rsidRDefault="00000000" w:rsidRPr="00000000" w14:paraId="00000023">
      <w:pPr>
        <w:jc w:val="left"/>
        <w:rPr/>
      </w:pPr>
      <w:r w:rsidDel="00000000" w:rsidR="00000000" w:rsidRPr="00000000">
        <w:rPr>
          <w:rtl w:val="0"/>
        </w:rPr>
        <w:t xml:space="preserve">Must include these learning objectives on the UW CM/Kuali proposal. </w:t>
      </w:r>
    </w:p>
    <w:p w:rsidR="00000000" w:rsidDel="00000000" w:rsidP="00000000" w:rsidRDefault="00000000" w:rsidRPr="00000000" w14:paraId="00000024">
      <w:pPr>
        <w:jc w:val="left"/>
        <w:rPr>
          <w:b w:val="1"/>
          <w:u w:val="single"/>
        </w:rPr>
      </w:pPr>
      <w:r w:rsidDel="00000000" w:rsidR="00000000" w:rsidRPr="00000000">
        <w:rPr>
          <w:rtl w:val="0"/>
        </w:rPr>
      </w:r>
    </w:p>
    <w:p w:rsidR="00000000" w:rsidDel="00000000" w:rsidP="00000000" w:rsidRDefault="00000000" w:rsidRPr="00000000" w14:paraId="00000025">
      <w:pPr>
        <w:jc w:val="left"/>
        <w:rPr>
          <w:b w:val="1"/>
          <w:u w:val="single"/>
        </w:rPr>
      </w:pPr>
      <w:r w:rsidDel="00000000" w:rsidR="00000000" w:rsidRPr="00000000">
        <w:rPr>
          <w:b w:val="1"/>
          <w:u w:val="single"/>
          <w:rtl w:val="0"/>
        </w:rPr>
        <w:t xml:space="preserve">Texts:</w:t>
      </w:r>
    </w:p>
    <w:p w:rsidR="00000000" w:rsidDel="00000000" w:rsidP="00000000" w:rsidRDefault="00000000" w:rsidRPr="00000000" w14:paraId="00000026">
      <w:pPr>
        <w:jc w:val="left"/>
        <w:rPr>
          <w:b w:val="1"/>
          <w:u w:val="single"/>
        </w:rPr>
      </w:pPr>
      <w:r w:rsidDel="00000000" w:rsidR="00000000" w:rsidRPr="00000000">
        <w:rPr>
          <w:rtl w:val="0"/>
        </w:rPr>
      </w:r>
    </w:p>
    <w:p w:rsidR="00000000" w:rsidDel="00000000" w:rsidP="00000000" w:rsidRDefault="00000000" w:rsidRPr="00000000" w14:paraId="00000027">
      <w:pPr>
        <w:jc w:val="left"/>
        <w:rPr/>
      </w:pPr>
      <w:r w:rsidDel="00000000" w:rsidR="00000000" w:rsidRPr="00000000">
        <w:rPr>
          <w:rtl w:val="0"/>
        </w:rPr>
        <w:t xml:space="preserve">List optional and required texts for the course. </w:t>
      </w:r>
    </w:p>
    <w:p w:rsidR="00000000" w:rsidDel="00000000" w:rsidP="00000000" w:rsidRDefault="00000000" w:rsidRPr="00000000" w14:paraId="00000028">
      <w:pPr>
        <w:jc w:val="left"/>
        <w:rPr>
          <w:b w:val="1"/>
        </w:rPr>
      </w:pPr>
      <w:r w:rsidDel="00000000" w:rsidR="00000000" w:rsidRPr="00000000">
        <w:rPr>
          <w:rtl w:val="0"/>
        </w:rPr>
      </w:r>
    </w:p>
    <w:p w:rsidR="00000000" w:rsidDel="00000000" w:rsidP="00000000" w:rsidRDefault="00000000" w:rsidRPr="00000000" w14:paraId="00000029">
      <w:pPr>
        <w:jc w:val="left"/>
        <w:rPr>
          <w:b w:val="1"/>
          <w:u w:val="single"/>
        </w:rPr>
      </w:pPr>
      <w:r w:rsidDel="00000000" w:rsidR="00000000" w:rsidRPr="00000000">
        <w:rPr>
          <w:b w:val="1"/>
          <w:u w:val="single"/>
          <w:rtl w:val="0"/>
        </w:rPr>
        <w:t xml:space="preserve">Course Assessment/Expectations:</w:t>
      </w:r>
    </w:p>
    <w:p w:rsidR="00000000" w:rsidDel="00000000" w:rsidP="00000000" w:rsidRDefault="00000000" w:rsidRPr="00000000" w14:paraId="0000002A">
      <w:pPr>
        <w:jc w:val="left"/>
        <w:rPr>
          <w:b w:val="1"/>
        </w:rPr>
      </w:pPr>
      <w:r w:rsidDel="00000000" w:rsidR="00000000" w:rsidRPr="00000000">
        <w:rPr>
          <w:rtl w:val="0"/>
        </w:rPr>
      </w:r>
    </w:p>
    <w:p w:rsidR="00000000" w:rsidDel="00000000" w:rsidP="00000000" w:rsidRDefault="00000000" w:rsidRPr="00000000" w14:paraId="0000002B">
      <w:pPr>
        <w:numPr>
          <w:ilvl w:val="0"/>
          <w:numId w:val="1"/>
        </w:numPr>
        <w:spacing w:after="200" w:lineRule="auto"/>
        <w:ind w:left="720" w:hanging="360"/>
        <w:jc w:val="left"/>
        <w:rPr/>
      </w:pPr>
      <w:r w:rsidDel="00000000" w:rsidR="00000000" w:rsidRPr="00000000">
        <w:rPr>
          <w:rtl w:val="0"/>
        </w:rPr>
        <w:t xml:space="preserve">Explicit description of due dates and type of assessments, including method (points, percentages, etc.) and general criteria (participation, improvement, content correctness, etc.), for each assignment</w:t>
      </w:r>
    </w:p>
    <w:p w:rsidR="00000000" w:rsidDel="00000000" w:rsidP="00000000" w:rsidRDefault="00000000" w:rsidRPr="00000000" w14:paraId="0000002C">
      <w:pPr>
        <w:numPr>
          <w:ilvl w:val="0"/>
          <w:numId w:val="1"/>
        </w:numPr>
        <w:spacing w:after="200" w:before="0" w:lineRule="auto"/>
        <w:ind w:left="720" w:hanging="360"/>
        <w:jc w:val="left"/>
        <w:rPr/>
      </w:pPr>
      <w:r w:rsidDel="00000000" w:rsidR="00000000" w:rsidRPr="00000000">
        <w:rPr>
          <w:rtl w:val="0"/>
        </w:rPr>
        <w:t xml:space="preserve">Strategies for success in the course</w:t>
      </w:r>
    </w:p>
    <w:p w:rsidR="00000000" w:rsidDel="00000000" w:rsidP="00000000" w:rsidRDefault="00000000" w:rsidRPr="00000000" w14:paraId="0000002D">
      <w:pPr>
        <w:numPr>
          <w:ilvl w:val="0"/>
          <w:numId w:val="1"/>
        </w:numPr>
        <w:spacing w:after="200" w:before="0" w:lineRule="auto"/>
        <w:ind w:left="720" w:hanging="360"/>
        <w:jc w:val="left"/>
        <w:rPr/>
      </w:pPr>
      <w:r w:rsidDel="00000000" w:rsidR="00000000" w:rsidRPr="00000000">
        <w:rPr>
          <w:rtl w:val="0"/>
        </w:rPr>
        <w:t xml:space="preserve">Overall course grading system (absolute scale, curve, etc.), will need to be included in the same way on the UW CM/Kuali proposal.</w:t>
      </w:r>
    </w:p>
    <w:p w:rsidR="00000000" w:rsidDel="00000000" w:rsidP="00000000" w:rsidRDefault="00000000" w:rsidRPr="00000000" w14:paraId="0000002E">
      <w:pPr>
        <w:numPr>
          <w:ilvl w:val="0"/>
          <w:numId w:val="1"/>
        </w:numPr>
        <w:spacing w:after="200" w:before="0" w:lineRule="auto"/>
        <w:ind w:left="720" w:hanging="360"/>
        <w:jc w:val="left"/>
        <w:rPr/>
      </w:pPr>
      <w:r w:rsidDel="00000000" w:rsidR="00000000" w:rsidRPr="00000000">
        <w:rPr>
          <w:rtl w:val="0"/>
        </w:rPr>
        <w:t xml:space="preserve">Evaluation details should feature percentages even if in addition to points, for example: “Exams 50%.” </w:t>
      </w:r>
    </w:p>
    <w:p w:rsidR="00000000" w:rsidDel="00000000" w:rsidP="00000000" w:rsidRDefault="00000000" w:rsidRPr="00000000" w14:paraId="0000002F">
      <w:pPr>
        <w:numPr>
          <w:ilvl w:val="0"/>
          <w:numId w:val="1"/>
        </w:numPr>
        <w:spacing w:after="200" w:before="0" w:lineRule="auto"/>
        <w:ind w:left="720" w:hanging="360"/>
        <w:jc w:val="left"/>
        <w:rPr/>
      </w:pPr>
      <w:r w:rsidDel="00000000" w:rsidR="00000000" w:rsidRPr="00000000">
        <w:rPr>
          <w:rtl w:val="0"/>
        </w:rPr>
        <w:t xml:space="preserve">Explain if the evaluation details listed applied to all credit options (if a multiple or range course).</w:t>
      </w:r>
    </w:p>
    <w:p w:rsidR="00000000" w:rsidDel="00000000" w:rsidP="00000000" w:rsidRDefault="00000000" w:rsidRPr="00000000" w14:paraId="00000030">
      <w:pPr>
        <w:numPr>
          <w:ilvl w:val="0"/>
          <w:numId w:val="1"/>
        </w:numPr>
        <w:spacing w:after="200" w:before="0" w:lineRule="auto"/>
        <w:ind w:left="720" w:hanging="360"/>
        <w:jc w:val="left"/>
        <w:rPr/>
      </w:pPr>
      <w:r w:rsidDel="00000000" w:rsidR="00000000" w:rsidRPr="00000000">
        <w:rPr>
          <w:rtl w:val="0"/>
        </w:rPr>
        <w:t xml:space="preserve">Students cannot be assessed for their behavior, such as attendance. </w:t>
      </w:r>
    </w:p>
    <w:p w:rsidR="00000000" w:rsidDel="00000000" w:rsidP="00000000" w:rsidRDefault="00000000" w:rsidRPr="00000000" w14:paraId="00000031">
      <w:pPr>
        <w:numPr>
          <w:ilvl w:val="0"/>
          <w:numId w:val="1"/>
        </w:numPr>
        <w:spacing w:after="200" w:before="0" w:lineRule="auto"/>
        <w:ind w:left="720" w:hanging="360"/>
        <w:jc w:val="left"/>
        <w:rPr/>
      </w:pPr>
      <w:r w:rsidDel="00000000" w:rsidR="00000000" w:rsidRPr="00000000">
        <w:rPr>
          <w:rtl w:val="0"/>
        </w:rPr>
        <w:t xml:space="preserve">“In courses where the pedagogy requires that more than 15% of the course grade be based on in-class participation, an assessment rubric is necessary so that students understand what is expected of them.”</w:t>
      </w:r>
    </w:p>
    <w:p w:rsidR="00000000" w:rsidDel="00000000" w:rsidP="00000000" w:rsidRDefault="00000000" w:rsidRPr="00000000" w14:paraId="00000032">
      <w:pPr>
        <w:numPr>
          <w:ilvl w:val="0"/>
          <w:numId w:val="1"/>
        </w:numPr>
        <w:spacing w:after="200" w:before="0" w:lineRule="auto"/>
        <w:ind w:left="720" w:hanging="360"/>
        <w:jc w:val="left"/>
        <w:rPr/>
      </w:pPr>
      <w:r w:rsidDel="00000000" w:rsidR="00000000" w:rsidRPr="00000000">
        <w:rPr>
          <w:rtl w:val="0"/>
        </w:rPr>
        <w:t xml:space="preserve">“Extra credit is discouraged. Should it be used, extra credit opportunities must be offered judiciously and not as a replacement for primary course material.”</w:t>
      </w:r>
    </w:p>
    <w:p w:rsidR="00000000" w:rsidDel="00000000" w:rsidP="00000000" w:rsidRDefault="00000000" w:rsidRPr="00000000" w14:paraId="00000033">
      <w:pPr>
        <w:numPr>
          <w:ilvl w:val="0"/>
          <w:numId w:val="1"/>
        </w:numPr>
        <w:spacing w:after="200" w:lineRule="auto"/>
        <w:ind w:left="720" w:hanging="360"/>
        <w:jc w:val="left"/>
        <w:rPr/>
      </w:pPr>
      <w:r w:rsidDel="00000000" w:rsidR="00000000" w:rsidRPr="00000000">
        <w:rPr>
          <w:rtl w:val="0"/>
        </w:rPr>
        <w:t xml:space="preserve">“Peer evaluation may not replace grading by the instructor; while peer evaluation may be included in a grading rubric, students are not to assign grades to other students.”</w:t>
      </w:r>
      <w:r w:rsidDel="00000000" w:rsidR="00000000" w:rsidRPr="00000000">
        <w:rPr>
          <w:rtl w:val="0"/>
        </w:rPr>
      </w:r>
    </w:p>
    <w:p w:rsidR="00000000" w:rsidDel="00000000" w:rsidP="00000000" w:rsidRDefault="00000000" w:rsidRPr="00000000" w14:paraId="00000034">
      <w:pPr>
        <w:jc w:val="left"/>
        <w:rPr>
          <w:b w:val="1"/>
        </w:rPr>
      </w:pPr>
      <w:r w:rsidDel="00000000" w:rsidR="00000000" w:rsidRPr="00000000">
        <w:rPr>
          <w:rtl w:val="0"/>
        </w:rPr>
      </w:r>
    </w:p>
    <w:p w:rsidR="00000000" w:rsidDel="00000000" w:rsidP="00000000" w:rsidRDefault="00000000" w:rsidRPr="00000000" w14:paraId="00000035">
      <w:pPr>
        <w:rPr>
          <w:b w:val="1"/>
          <w:u w:val="single"/>
        </w:rPr>
      </w:pPr>
      <w:r w:rsidDel="00000000" w:rsidR="00000000" w:rsidRPr="00000000">
        <w:rPr>
          <w:b w:val="1"/>
          <w:u w:val="single"/>
          <w:rtl w:val="0"/>
        </w:rPr>
        <w:t xml:space="preserve">Class Schedule:</w:t>
      </w:r>
    </w:p>
    <w:p w:rsidR="00000000" w:rsidDel="00000000" w:rsidP="00000000" w:rsidRDefault="00000000" w:rsidRPr="00000000" w14:paraId="00000036">
      <w:pPr>
        <w:rPr>
          <w:b w:val="1"/>
          <w:u w:val="single"/>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Provide an example or past quarter’s class schedule. </w:t>
      </w:r>
    </w:p>
    <w:p w:rsidR="00000000" w:rsidDel="00000000" w:rsidP="00000000" w:rsidRDefault="00000000" w:rsidRPr="00000000" w14:paraId="00000038">
      <w:pPr>
        <w:rPr>
          <w:b w:val="1"/>
          <w:u w:val="single"/>
        </w:rPr>
      </w:pPr>
      <w:r w:rsidDel="00000000" w:rsidR="00000000" w:rsidRPr="00000000">
        <w:rPr>
          <w:rtl w:val="0"/>
        </w:rPr>
      </w:r>
    </w:p>
    <w:p w:rsidR="00000000" w:rsidDel="00000000" w:rsidP="00000000" w:rsidRDefault="00000000" w:rsidRPr="00000000" w14:paraId="00000039">
      <w:pPr>
        <w:jc w:val="left"/>
        <w:rPr>
          <w:b w:val="1"/>
          <w:u w:val="single"/>
        </w:rPr>
      </w:pPr>
      <w:r w:rsidDel="00000000" w:rsidR="00000000" w:rsidRPr="00000000">
        <w:rPr>
          <w:b w:val="1"/>
          <w:u w:val="single"/>
          <w:rtl w:val="0"/>
        </w:rPr>
        <w:t xml:space="preserve">Religious Accommodations: </w:t>
      </w:r>
      <w:r w:rsidDel="00000000" w:rsidR="00000000" w:rsidRPr="00000000">
        <w:rPr>
          <w:rtl w:val="0"/>
        </w:rPr>
      </w:r>
    </w:p>
    <w:p w:rsidR="00000000" w:rsidDel="00000000" w:rsidP="00000000" w:rsidRDefault="00000000" w:rsidRPr="00000000" w14:paraId="0000003A">
      <w:pPr>
        <w:jc w:val="left"/>
        <w:rPr>
          <w:b w:val="1"/>
        </w:rPr>
      </w:pPr>
      <w:r w:rsidDel="00000000" w:rsidR="00000000" w:rsidRPr="00000000">
        <w:rPr>
          <w:b w:val="1"/>
          <w:rtl w:val="0"/>
        </w:rPr>
        <w:t xml:space="preserve">DO NOT AMEND</w:t>
      </w:r>
    </w:p>
    <w:p w:rsidR="00000000" w:rsidDel="00000000" w:rsidP="00000000" w:rsidRDefault="00000000" w:rsidRPr="00000000" w14:paraId="0000003B">
      <w:pPr>
        <w:jc w:val="left"/>
        <w:rPr>
          <w:b w:val="1"/>
          <w:u w:val="single"/>
        </w:rPr>
      </w:pPr>
      <w:r w:rsidDel="00000000" w:rsidR="00000000" w:rsidRPr="00000000">
        <w:rPr>
          <w:rtl w:val="0"/>
        </w:rPr>
      </w:r>
    </w:p>
    <w:p w:rsidR="00000000" w:rsidDel="00000000" w:rsidP="00000000" w:rsidRDefault="00000000" w:rsidRPr="00000000" w14:paraId="0000003C">
      <w:pPr>
        <w:jc w:val="left"/>
        <w:rPr>
          <w:b w:val="1"/>
          <w:u w:val="single"/>
        </w:rPr>
      </w:pPr>
      <w:r w:rsidDel="00000000" w:rsidR="00000000" w:rsidRPr="00000000">
        <w:rPr>
          <w:rtl w:val="0"/>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Religious Accommodations Policy (https://registrar.washington.edu/staffandfaculty/religious-accommodations-policy/). Accommodations must be requested within the first two weeks of this course using the Religious Accommodations Request form (</w:t>
      </w:r>
      <w:hyperlink r:id="rId7">
        <w:r w:rsidDel="00000000" w:rsidR="00000000" w:rsidRPr="00000000">
          <w:rPr>
            <w:color w:val="1155cc"/>
            <w:u w:val="single"/>
            <w:rtl w:val="0"/>
          </w:rPr>
          <w:t xml:space="preserve">https://registrar.washington.edu/students/religious-accommodations-request/</w:t>
        </w:r>
      </w:hyperlink>
      <w:r w:rsidDel="00000000" w:rsidR="00000000" w:rsidRPr="00000000">
        <w:rPr>
          <w:rtl w:val="0"/>
        </w:rPr>
        <w:t xml:space="preserve">).” </w:t>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gistrar.washington.edu/staffandfaculty/syllabus-guidelines/" TargetMode="External"/><Relationship Id="rId7" Type="http://schemas.openxmlformats.org/officeDocument/2006/relationships/hyperlink" Target="https://registrar.washington.edu/students/religious-accommodations-request/"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